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E6" w:rsidRDefault="00C82CBC" w:rsidP="00C82C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30DFF">
        <w:rPr>
          <w:rFonts w:ascii="Times New Roman" w:hAnsi="Times New Roman"/>
          <w:b/>
          <w:i/>
          <w:sz w:val="24"/>
          <w:szCs w:val="24"/>
          <w:u w:val="single"/>
        </w:rPr>
        <w:t>Вопрос</w:t>
      </w:r>
      <w:r w:rsidRPr="00F30DF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:rsidR="00C82CBC" w:rsidRPr="006E39E6" w:rsidRDefault="006E39E6" w:rsidP="00C82C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C82CBC" w:rsidRPr="006E39E6">
        <w:rPr>
          <w:rFonts w:ascii="Times New Roman" w:hAnsi="Times New Roman"/>
          <w:b/>
          <w:i/>
          <w:sz w:val="24"/>
          <w:szCs w:val="24"/>
        </w:rPr>
        <w:t>Какие требования предъявляются к  используемым приборам учета электрической энергии?</w:t>
      </w:r>
    </w:p>
    <w:p w:rsidR="00C82CBC" w:rsidRPr="00E937A2" w:rsidRDefault="00C82CBC" w:rsidP="00C82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39E6" w:rsidRPr="006E39E6" w:rsidRDefault="00C82CBC" w:rsidP="00C82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39E6">
        <w:rPr>
          <w:rFonts w:ascii="Times New Roman" w:hAnsi="Times New Roman"/>
          <w:b/>
          <w:i/>
          <w:sz w:val="24"/>
          <w:szCs w:val="24"/>
          <w:u w:val="single"/>
        </w:rPr>
        <w:t>Ответ</w:t>
      </w:r>
      <w:r w:rsidRPr="006E39E6">
        <w:rPr>
          <w:rFonts w:ascii="Times New Roman" w:hAnsi="Times New Roman"/>
          <w:i/>
          <w:sz w:val="24"/>
          <w:szCs w:val="24"/>
          <w:u w:val="single"/>
        </w:rPr>
        <w:t xml:space="preserve">: </w:t>
      </w:r>
    </w:p>
    <w:p w:rsidR="00C82CBC" w:rsidRDefault="006E39E6" w:rsidP="00C82CBC">
      <w:pPr>
        <w:spacing w:after="0" w:line="240" w:lineRule="auto"/>
        <w:jc w:val="both"/>
        <w:rPr>
          <w:bCs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C82CBC" w:rsidRPr="00B86424">
        <w:rPr>
          <w:rFonts w:ascii="Times New Roman" w:hAnsi="Times New Roman"/>
          <w:bCs/>
          <w:sz w:val="24"/>
          <w:szCs w:val="24"/>
        </w:rPr>
        <w:t>Приборы учета, показания которых  используются при определении объемов потребления (производства) электрической энергии (мощности) на розничных рынках, оказанных услуг по передаче электрической энергии, фактических потерь электрической энергии в объектах электросетевого хозяйства, за которые осуществляются расчеты на розничном рынке, должны соответствовать требованиям законодательства Российской Федерации об обеспечении единства измерений, а в том числе по их классу точности.</w:t>
      </w:r>
    </w:p>
    <w:p w:rsidR="00C82CBC" w:rsidRPr="00FB3FFD" w:rsidRDefault="00C82CBC" w:rsidP="00C82C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«Класс точности»</w:t>
      </w:r>
      <w:r w:rsidRPr="00B864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B3FFD">
        <w:rPr>
          <w:rFonts w:ascii="Times New Roman" w:eastAsia="Times New Roman" w:hAnsi="Times New Roman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B3FFD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B3FFD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параметр электросчет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чика, </w:t>
      </w:r>
      <w:r w:rsidRPr="00FB3FFD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который указывает на уровень погрешности измерений прибора. </w:t>
      </w:r>
    </w:p>
    <w:p w:rsidR="00C82CBC" w:rsidRPr="00F12EDA" w:rsidRDefault="00C82CBC" w:rsidP="00C82C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37A2">
        <w:rPr>
          <w:rFonts w:ascii="Times New Roman" w:eastAsia="Times New Roman" w:hAnsi="Times New Roman"/>
          <w:sz w:val="24"/>
          <w:szCs w:val="24"/>
          <w:lang w:eastAsia="ru-RU"/>
        </w:rPr>
        <w:t>Для учета электрической энергии</w:t>
      </w:r>
      <w:r w:rsidRPr="00F12EDA">
        <w:rPr>
          <w:rFonts w:ascii="Times New Roman" w:eastAsia="Times New Roman" w:hAnsi="Times New Roman"/>
          <w:sz w:val="24"/>
          <w:szCs w:val="24"/>
          <w:lang w:eastAsia="ru-RU"/>
        </w:rPr>
        <w:t>, потребляемой гражданами, а также на границе раздела объектов электр</w:t>
      </w:r>
      <w:bookmarkStart w:id="0" w:name="_GoBack"/>
      <w:bookmarkEnd w:id="0"/>
      <w:r w:rsidRPr="00F12EDA">
        <w:rPr>
          <w:rFonts w:ascii="Times New Roman" w:eastAsia="Times New Roman" w:hAnsi="Times New Roman"/>
          <w:sz w:val="24"/>
          <w:szCs w:val="24"/>
          <w:lang w:eastAsia="ru-RU"/>
        </w:rPr>
        <w:t>осетевого хозяйства и внутридомовых инженерных систем многоквартирного дома подлежат использованию приборы учета класса точности 2,0 и выше.</w:t>
      </w:r>
    </w:p>
    <w:p w:rsidR="00C82CBC" w:rsidRDefault="00C82CBC" w:rsidP="00C82C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78">
        <w:rPr>
          <w:rFonts w:ascii="Times New Roman" w:eastAsia="Times New Roman" w:hAnsi="Times New Roman"/>
          <w:sz w:val="24"/>
          <w:szCs w:val="24"/>
          <w:lang w:eastAsia="ru-RU"/>
        </w:rPr>
        <w:t>В многоквартирных домах, на границе раздела объектов электросетевого хозяйства и внутридомовых инженерных систем подлежат установке коллективные (общедомовые) приборы учета класса точности 1,0 и выше.</w:t>
      </w:r>
    </w:p>
    <w:p w:rsidR="00C82CBC" w:rsidRDefault="00C82CBC" w:rsidP="00C82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учета электрической энергии, потребляемой потребителями с максимальной мощностью менее 670 кВт, подлежат использованию приборы учета класса точности 1,0 и выше - для точек присоединения к объектам электросетевого хозяйства напряжением 35 кВ и ниже и класса точности 0,5S и выше - для точек присоединения к объектам электросетевого хозяйства напряжением 110 кВ и выше.</w:t>
      </w:r>
    </w:p>
    <w:p w:rsidR="00C82CBC" w:rsidRDefault="00C82CBC" w:rsidP="00C82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учета электрической энергии, потребляемой потребителями с максимальной мощностью не менее 670 кВт, подлежат использованию приборы учета, позволяющие измерять почасовые объемы потребления электрической энергии, класса точности 0,5S и выше, обеспечивающие хранение данных о почасовых объемах потребления электрической энергии за последние 90 дней и более или включенные в систему учета.</w:t>
      </w:r>
    </w:p>
    <w:p w:rsidR="00C82CBC" w:rsidRDefault="00C82CBC" w:rsidP="00C82C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точности измерительных трансформаторов, используемых в измерительных комплексах для установки (подключения) приборов учета, должен быть не ниже 0,5. Допускается использование измерительных трансформаторов напряжения класса точности 1,0 для установки (подключения) приборов учета класса точности 2,0.</w:t>
      </w:r>
    </w:p>
    <w:p w:rsidR="00C82CBC" w:rsidRDefault="00C82CBC" w:rsidP="00C82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178">
        <w:rPr>
          <w:rFonts w:ascii="Times New Roman" w:eastAsia="Times New Roman" w:hAnsi="Times New Roman"/>
          <w:sz w:val="24"/>
          <w:szCs w:val="24"/>
          <w:lang w:eastAsia="ru-RU"/>
        </w:rPr>
        <w:t>Каждый установленный расчетный счетчик должен иметь на винтах, крепящих кожух счетчика, пломбы с клеймом госповерителя, а на зажимной крышке - пломбу энергоснабжающей организации.</w:t>
      </w:r>
    </w:p>
    <w:p w:rsidR="00C82CBC" w:rsidRPr="001B0178" w:rsidRDefault="00C82CBC" w:rsidP="00C82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82CBC" w:rsidRPr="001B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11C6"/>
    <w:multiLevelType w:val="hybridMultilevel"/>
    <w:tmpl w:val="E168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C"/>
    <w:rsid w:val="006E39E6"/>
    <w:rsid w:val="008B53EB"/>
    <w:rsid w:val="00C8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2</cp:revision>
  <dcterms:created xsi:type="dcterms:W3CDTF">2015-05-28T11:14:00Z</dcterms:created>
  <dcterms:modified xsi:type="dcterms:W3CDTF">2015-05-28T11:34:00Z</dcterms:modified>
</cp:coreProperties>
</file>