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BD" w:rsidRDefault="00BB47BD" w:rsidP="00BB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23E56">
        <w:rPr>
          <w:rFonts w:ascii="Times New Roman" w:hAnsi="Times New Roman" w:cs="Times New Roman"/>
          <w:b/>
          <w:i/>
          <w:sz w:val="20"/>
          <w:szCs w:val="20"/>
        </w:rPr>
        <w:t>⸙ Порядок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23E56">
        <w:rPr>
          <w:rFonts w:ascii="Times New Roman" w:hAnsi="Times New Roman" w:cs="Times New Roman"/>
          <w:b/>
          <w:i/>
          <w:sz w:val="20"/>
          <w:szCs w:val="20"/>
        </w:rPr>
        <w:t>предоставления удаленного доступа к минимальному набору функций интеллектуальных систем учета электрической энергии (мощности) в объеме функций интеллектуальных систем учета электрической энергии (мощности)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 всем приборам учета электрической энергии, допускаемым (вводимым) в эксплуатацию с 1 января 2022 г. для целей коммерческого учета электрической энергии на розничных рынках электрической энергии, сетевая организация обеспечивает безвозмездное предоставление возможности использования функций интеллектуальной системы учета субъектам электроэнергетики и потребителям электрической энергии, в отношении которых она обеспечивает коммерческий учет электрической энергии (далее - пользователь интеллектуальной системы учета).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Предоставление пользователю интеллектуальной системы учета доступа к функциям интеллектуальных систем учета в отношении прибора учета электрической энергии обеспечивается с момента присоединения соответствующего прибора учета электрической энергии к интеллектуальной системе учета сетевой организации.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электрической энергии, должен быть присоединен к интеллектуальной системе учета сетевой организации в следующем порядке: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прибор учета электрической энергии, допущенный в эксплуатацию с 01.01.2022 г. по 28.02.2022 г., - не позднее 14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прибор учета электрической энергии, допущенный в эксплуатацию с 01.03.2022 г. по 30.04.2022 г., - не позднее 12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прибор учета электрической энергии, допущенный в эксплуатацию с 01.05.2022 г. по 30.06.2022 г., - не позднее 10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прибор учета электрической энергии, допущенный в эксплуатацию с 01.07.2022 г. по 31.08.2022 г., - не позднее 8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прибор учета электрической энергии, допущенный в эксплуатацию с 01.09.2022 г. по 31.10.2022 г., - не позднее 6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прибор учета электрической энергии, допущенный в эксплуатацию с 01.11.2022 г. по 31.12.2022 г., - не позднее 4 месяцев со дня его допуска (ввода) в эксплуатацию;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прибор учета электрической энергии, допущенный в эксплуатацию после 01.01.2023 г., - не позднее 2 месяцев со дня его допуска (ввода) в эксплуатацию.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Приборы учета электрической энергии, устанавливаемые сетевой организацией, должны быть присоединены к интеллектуальной системе учета, владельцем которой является соответствующая сетевая организация.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Прибор учета электрической энергии, присоединяемый к интеллектуальной системе учета, должен соответствовать требованиям постановления Правительства РФ от 17.07.2015 № 719 "О подтверждении производства промышленной продукции на территории Российской Федерации", постановления Правительства РФ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16 сентября 2016 г. № 925 и признании утратившими силу некоторых актов Правительства Российской Федерации" при условии наличия таких приборов учета в свободном доступе на соответствующем товарном рынке.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Приборы учета электрической энергии, присоединенные к интеллектуальной системе учета, могут передавать информацию по проводным и (или) беспроводным сетям связи, а также по линиям электропередачи с применением соответствующих технологий.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56CE">
        <w:rPr>
          <w:rFonts w:ascii="Times New Roman" w:hAnsi="Times New Roman" w:cs="Times New Roman"/>
          <w:sz w:val="20"/>
          <w:szCs w:val="20"/>
          <w:u w:val="single"/>
        </w:rPr>
        <w:t>Пользователи интеллектуальных систем учета сетевых организаций: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потребители электрической энергии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которые используются для коммерческого учета электрической энергии (мощности) в точках поставки по заключенным такими потребителями электрической энергии договорам оказания услуг по передаче электрической энергии;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гарантирующие поставщики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которые используются для коммерческого учета электрической энергии (мощности) в точках поставки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обслуживаемых ими потребителей электрической энергии по заключенным такими гарантирующими поставщиками договорам оказания услуг по передаче электрической энергии, купли-продажи (поставки) электрической энергии (мощности) в целях компенсации потерь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электросетевого хозяйства сетевых организаций;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которые используются для коммерческого учета электрической энергии (мощности) в точках поставки по заключенным такими энергосбытовыми организациями договорам оказания услуг по передаче электрической энергии;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сетевые организации - в отношении приборов учета электрической энергии, присоединенных к интеллектуальным системам учета, владельцами которых являются смежные сетевые организации и которые используются для коммерческого учета электрической энергии (мощности) в точках поставки по заключенным такими сетевыми организациями договорам оказания услуг по передаче электрической энергии;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производители электрической энергии (мощности)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которые используются для коммерческого учета электрической энергии (мощности) в точках поставки по заключенным такими производителями электрической энергии (мощности) договорам купли-продажи (поставки) электрической энергии (мощности) на розничном рынке;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системный оператор и субъекты оперативно-диспетчерского управления в технологически изолированных территориальных электроэнергетических системах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которым необходима для осуществления возложенных на такого субъекта функций;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организации коммерческой инфраструктуры (совет рынка, коммерческий оператор оптового рынка и иные организации,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инфраструктуры) - в отношении приборов учета электрической энергии, присоединенных к интеллектуальным системам учета, владельцами которых являются сетевые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которым необходима для осуществления возложенных на такие организации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функций в отношении производителей электрической энергии на основе использования возобновляемых источников энергии или торфа, и в отношении точек поставки оптового рынка электрической энергии (мощности).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Получение пользователем информации в рамках </w:t>
      </w:r>
      <w:proofErr w:type="gramStart"/>
      <w:r>
        <w:rPr>
          <w:rFonts w:ascii="Times New Roman" w:hAnsi="Times New Roman" w:cs="Times New Roman"/>
          <w:sz w:val="20"/>
          <w:szCs w:val="20"/>
        </w:rPr>
        <w:t>функционирования интеллектуальной системы учета сетевой организации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осуществляется непосредственно (визуально) с дисплеев приборов учета электрической энергии, присоединенных к интеллектуальной системе учета, выносных дисплеев (при отсутствии дисплея на приборе учета) и посредством предоставления удаленного доступа к функциям (информации) интеллектуальной системы учета.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Доступ для визуального получения информации с прибора учета электрической энергии осуществляется в случаях и порядке, которые предусмотрены Основными положениями функционирования розничных рынков электрической энергии для случаев контрольного снятия показаний приборов учета электрической энергии.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Минимальный набор информации, который может получить пользователь непосредственно с прибора учета электрической энергии, определяется требованиями к функциям приборов учета электрической энергии, которые могут быть присоединены к интеллектуальной системе учета, установленными Правилами.</w:t>
      </w: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Удаленный доступ пользователям интеллектуальной системы учета к информации, а также для использования ими функций интеллектуальной системы учета осуществляется посредством информационно-телекоммуникационной сети "Интернет" путем предоставления доступа к личным кабинетам, ведение которых осуществляется владельцем интеллектуальной системы учета в порядке, форматах и объеме, которые предусмотрены Едиными стандартами качества обслуживания сетевыми организациями потребителей услуг сетевых организаций.</w:t>
      </w:r>
      <w:proofErr w:type="gramEnd"/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47BD" w:rsidRDefault="00BB47BD" w:rsidP="00BB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69E6">
        <w:rPr>
          <w:rFonts w:ascii="Times New Roman" w:hAnsi="Times New Roman" w:cs="Times New Roman"/>
          <w:sz w:val="20"/>
          <w:szCs w:val="20"/>
        </w:rPr>
        <w:t xml:space="preserve">Перечень функций интеллектуальной системы учета и требования к ним определены в </w:t>
      </w:r>
      <w:r>
        <w:rPr>
          <w:rFonts w:ascii="Times New Roman" w:hAnsi="Times New Roman" w:cs="Times New Roman"/>
          <w:sz w:val="20"/>
          <w:szCs w:val="20"/>
        </w:rPr>
        <w:t>Правилах предоставления доступа к минимальному набору функций интеллектуальных систем учета электрической энергии (мощности).</w:t>
      </w:r>
    </w:p>
    <w:p w:rsidR="001B4CD0" w:rsidRDefault="001B4CD0"/>
    <w:sectPr w:rsidR="001B4CD0" w:rsidSect="00BB47B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7BD"/>
    <w:rsid w:val="001B4CD0"/>
    <w:rsid w:val="00B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</dc:creator>
  <cp:keywords/>
  <dc:description/>
  <cp:lastModifiedBy>2П</cp:lastModifiedBy>
  <cp:revision>2</cp:revision>
  <dcterms:created xsi:type="dcterms:W3CDTF">2022-03-15T19:46:00Z</dcterms:created>
  <dcterms:modified xsi:type="dcterms:W3CDTF">2022-03-15T19:46:00Z</dcterms:modified>
</cp:coreProperties>
</file>