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F0B18" w:rsidRPr="005F481A" w:rsidRDefault="004F0B18" w:rsidP="004F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F481A">
        <w:rPr>
          <w:rFonts w:ascii="Times New Roman" w:hAnsi="Times New Roman" w:cs="Times New Roman"/>
          <w:b/>
          <w:i/>
          <w:sz w:val="20"/>
          <w:szCs w:val="20"/>
        </w:rPr>
        <w:t>⸙Порядок проведения установки или замены прибора учета электроэнергии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59CF">
        <w:rPr>
          <w:rFonts w:ascii="Times New Roman" w:hAnsi="Times New Roman" w:cs="Times New Roman"/>
          <w:sz w:val="20"/>
          <w:szCs w:val="20"/>
          <w:u w:val="single"/>
        </w:rPr>
        <w:t>Сетевая организация, имеющая намерение установить либо заменить прибор учета</w:t>
      </w:r>
      <w:r>
        <w:rPr>
          <w:rFonts w:ascii="Times New Roman" w:hAnsi="Times New Roman" w:cs="Times New Roman"/>
          <w:sz w:val="20"/>
          <w:szCs w:val="20"/>
        </w:rPr>
        <w:t xml:space="preserve"> электрической энергии, направляет </w:t>
      </w:r>
      <w:r w:rsidRPr="00AB0339">
        <w:rPr>
          <w:rFonts w:ascii="Times New Roman" w:hAnsi="Times New Roman" w:cs="Times New Roman"/>
          <w:sz w:val="20"/>
          <w:szCs w:val="20"/>
          <w:u w:val="single"/>
        </w:rPr>
        <w:t>запрос</w:t>
      </w:r>
      <w:r>
        <w:rPr>
          <w:rFonts w:ascii="Times New Roman" w:hAnsi="Times New Roman" w:cs="Times New Roman"/>
          <w:sz w:val="20"/>
          <w:szCs w:val="20"/>
        </w:rPr>
        <w:t xml:space="preserve"> на установку (замену) прибора учета способом, позволяющим подтвердить факт его получения, в адрес следующих организаций (лиц):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гарантирующий поставщик (энергосбытовая, энергоснабжающая организация), с которым в отношении таких энергопринимающих устройств (объектов по производству электрической энергии (мощности) заключен договор энергоснабжения (купли-продажи электрической энергии);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собственник (владелец) энергопринимающих устройств (объектов по производству электрической энергии (мощности), объектов электросетевого хозяйства), в отношении которых планируется установка либо замена прибора учета.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0339">
        <w:rPr>
          <w:rFonts w:ascii="Times New Roman" w:hAnsi="Times New Roman" w:cs="Times New Roman"/>
          <w:sz w:val="20"/>
          <w:szCs w:val="20"/>
          <w:u w:val="single"/>
        </w:rPr>
        <w:t>В запросе на установку (замену) прибора учета должны быть указаны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реквизиты и контактные данные лица, направившего запрос, включая номер телефона, а также причины установки либо замены ранее установленного прибора учета;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место нахождения энергопринимающих устройств (объектов электроэнергетики), в отношении которых лицо, направившее запрос, имеет намерение установить или заменить прибор учета;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предлагаемые места установки прибора учета в случае, если они отличаются от ранее согласованных мест установки, с обоснованием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причины изменения места установки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информация о приборе учета и (или) об ином оборудовании,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предполагается установить и заменить;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-предполагаемые дата и время совершения действий по установке и допуску в эксплуатацию приборов учета (при необходимости допуска в эксплуатацию);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обязанность собственника (владельца) энергопринимающих устройств (объектов по производству электрической энергии (мощности), объектов электросетевого хозяйства), в отношении которых планируется установка либо замена прибора учета, по обеспечению допуска сетевой организации к местам установки приборов учета, а также последствия недопуска, предусмотренные настоящим разделом;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информация о действиях, которые в соответствии с настоящим пунктом такая сетевая организация вправе предпринять в случае, если ей будет отказано в доступе к месту установки приборов учета.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Собственник (владелец) энергопринимающих устройств (объектов по производству электрической энергии (мощности), объектов электросетевого хозяйства) в течение 10 рабочих дней со дня получения запроса об установке (о замене)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(замене) и допуску в эксплуатацию приборов учета либо согласовать иные дату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(или) время.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Собственник (владелец) энергопринимающих устройств (объектов по производству электрической энергии (мощности), объектов электросетевого хозяйства), в границах объектов электроэнергетики (энергопринимающих устройств) которого предложены места установки прибора учета, вправе отказать в установке прибора учета при отсутствии технической возможности установки прибора учета в месте, указанном в запросе на установку (замену) прибора учета.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 этом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таким собственником (владельцем) объектов электросетевого хозяйства является сетевая организация, она обязана указать в своем отказе возможные места установки прибора учета.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C82">
        <w:rPr>
          <w:rFonts w:ascii="Times New Roman" w:hAnsi="Times New Roman" w:cs="Times New Roman"/>
          <w:i/>
          <w:sz w:val="20"/>
          <w:szCs w:val="20"/>
        </w:rPr>
        <w:t>⸙</w:t>
      </w:r>
      <w:r w:rsidRPr="00656BF6">
        <w:rPr>
          <w:rFonts w:ascii="Times New Roman" w:hAnsi="Times New Roman" w:cs="Times New Roman"/>
          <w:i/>
          <w:sz w:val="20"/>
          <w:szCs w:val="20"/>
        </w:rPr>
        <w:t>Техническая возможность установки прибора учета отсутствует</w:t>
      </w:r>
      <w:r>
        <w:rPr>
          <w:rFonts w:ascii="Times New Roman" w:hAnsi="Times New Roman" w:cs="Times New Roman"/>
          <w:sz w:val="20"/>
          <w:szCs w:val="20"/>
        </w:rPr>
        <w:t xml:space="preserve">, если выполняется </w:t>
      </w:r>
      <w:r w:rsidRPr="00656BF6">
        <w:rPr>
          <w:rFonts w:ascii="Times New Roman" w:hAnsi="Times New Roman" w:cs="Times New Roman"/>
          <w:sz w:val="20"/>
          <w:szCs w:val="20"/>
          <w:u w:val="single"/>
        </w:rPr>
        <w:t>хотя бы одно из</w:t>
      </w:r>
      <w:r>
        <w:rPr>
          <w:rFonts w:ascii="Times New Roman" w:hAnsi="Times New Roman" w:cs="Times New Roman"/>
          <w:sz w:val="20"/>
          <w:szCs w:val="20"/>
        </w:rPr>
        <w:t xml:space="preserve"> следующих условий: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-установка прибора учета по проектным характеристикам мест установки невозможна без реконструкции, капитального ремонта существующих энергопринимающих устройств, объектов по производству электрической энергии (мощности) или объектов электросетевого хозяйства и (или) без создания новых объектов капитального строительства;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-при установке прибора учета невозможно обеспечить соблюдение обязательных метрологических и технических требований к прибору учета, в том числе к условиям его установки и эксплуатации, предъявляемых в соответствии с законодательством РФ об обеспечении единства измерений и о техническом регулировании.</w:t>
      </w:r>
      <w:proofErr w:type="gramEnd"/>
    </w:p>
    <w:p w:rsidR="004F0B18" w:rsidRPr="00652E4B" w:rsidRDefault="004F0B18" w:rsidP="004F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52E4B">
        <w:rPr>
          <w:rFonts w:ascii="Consolas" w:hAnsi="Consolas" w:cs="Times New Roman"/>
          <w:sz w:val="18"/>
          <w:szCs w:val="18"/>
        </w:rPr>
        <w:t xml:space="preserve">Условия отсутствия технической возможности установки прибора учета </w:t>
      </w:r>
      <w:r w:rsidRPr="00652E4B">
        <w:rPr>
          <w:rFonts w:ascii="Consolas" w:hAnsi="Consolas" w:cs="Times New Roman"/>
          <w:sz w:val="18"/>
          <w:szCs w:val="18"/>
          <w:u w:val="single"/>
        </w:rPr>
        <w:t>не</w:t>
      </w:r>
      <w:r w:rsidRPr="00652E4B">
        <w:rPr>
          <w:rFonts w:ascii="Consolas" w:hAnsi="Consolas" w:cs="Times New Roman"/>
          <w:sz w:val="18"/>
          <w:szCs w:val="18"/>
        </w:rPr>
        <w:t xml:space="preserve"> </w:t>
      </w:r>
      <w:r w:rsidRPr="00652E4B">
        <w:rPr>
          <w:rFonts w:ascii="Consolas" w:hAnsi="Consolas" w:cs="Times New Roman"/>
          <w:sz w:val="18"/>
          <w:szCs w:val="18"/>
          <w:u w:val="single"/>
        </w:rPr>
        <w:t>применяются</w:t>
      </w:r>
      <w:r w:rsidRPr="00652E4B">
        <w:rPr>
          <w:rFonts w:ascii="Consolas" w:hAnsi="Consolas" w:cs="Times New Roman"/>
          <w:sz w:val="18"/>
          <w:szCs w:val="18"/>
        </w:rPr>
        <w:t xml:space="preserve"> </w:t>
      </w:r>
      <w:r w:rsidRPr="00652E4B">
        <w:rPr>
          <w:rFonts w:ascii="Consolas" w:hAnsi="Consolas" w:cs="Times New Roman"/>
          <w:sz w:val="18"/>
          <w:szCs w:val="18"/>
          <w:u w:val="single"/>
        </w:rPr>
        <w:t>при технологическом присоединении</w:t>
      </w:r>
      <w:r w:rsidRPr="00652E4B">
        <w:rPr>
          <w:rFonts w:ascii="Consolas" w:hAnsi="Consolas" w:cs="Times New Roman"/>
          <w:sz w:val="18"/>
          <w:szCs w:val="18"/>
        </w:rPr>
        <w:t xml:space="preserve">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  <w:proofErr w:type="gramEnd"/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подтвержденные дату и время сетевая организация осуществляет действия по установке (замене) прибора учета.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 ненаправлении собственником (владельцем) энергопринимающих устройств сетевой организации в установленный срок ответа на запрос на установку (замену) прибора учета, при получении ответа об отказе в установке прибора учета или при двукратном недопуске к месту установки прибора учета, но не ранее 4 месяцев с момента первого недопуска, прибор учета подлежит установке в ином месте, максимально приближенном к границе балансовой принадлежности, 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уведомлением лиц, которым направлялся запрос на установку (замену) прибора учета, о смене места установки с указанием адреса такого места иных лиц, которые в соответствии с настоящим пунктом принимают участие в процедуре допуска прибора учета в эксплуатацию.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 этом после двукратного недопуска объем потребления электрической энергии для расчета за потребленную электрическую энергию (мощность) и оказанные услуги по передаче электрической энергии, объем производства электрической энергии (мощности) и объем электрической энергии, принятой в объекты электросетевого хозяйства (отпущенной из объектов электросетевого хозяйства в объекты электросетевого хозяйства смежных сетевых организаций), определяются в порядке, предусмотренном </w:t>
      </w:r>
      <w:hyperlink r:id="rId4" w:history="1">
        <w:r w:rsidRPr="005F481A">
          <w:rPr>
            <w:rFonts w:ascii="Times New Roman" w:hAnsi="Times New Roman" w:cs="Times New Roman"/>
            <w:sz w:val="20"/>
            <w:szCs w:val="20"/>
          </w:rPr>
          <w:t>п</w:t>
        </w:r>
        <w:r>
          <w:rPr>
            <w:rFonts w:ascii="Times New Roman" w:hAnsi="Times New Roman" w:cs="Times New Roman"/>
            <w:sz w:val="20"/>
            <w:szCs w:val="20"/>
          </w:rPr>
          <w:t>.</w:t>
        </w:r>
        <w:r w:rsidRPr="005F481A">
          <w:rPr>
            <w:rFonts w:ascii="Times New Roman" w:hAnsi="Times New Roman" w:cs="Times New Roman"/>
            <w:sz w:val="20"/>
            <w:szCs w:val="20"/>
          </w:rPr>
          <w:t xml:space="preserve"> 182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Основных положений.</w:t>
      </w:r>
      <w:proofErr w:type="gramEnd"/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Ответственность сетевой организации за неисполнение или ненадлежащее исполнение обязанностей по установке, замене и допуску в эксплуатацию прибора учета </w:t>
      </w:r>
      <w:r w:rsidRPr="005F481A">
        <w:rPr>
          <w:rFonts w:ascii="Times New Roman" w:hAnsi="Times New Roman" w:cs="Times New Roman"/>
          <w:sz w:val="20"/>
          <w:szCs w:val="20"/>
          <w:u w:val="single"/>
        </w:rPr>
        <w:t>не возникает в случае, если причиной неисполнения таких обязанностей стал недопуск</w:t>
      </w:r>
      <w:r>
        <w:rPr>
          <w:rFonts w:ascii="Times New Roman" w:hAnsi="Times New Roman" w:cs="Times New Roman"/>
          <w:sz w:val="20"/>
          <w:szCs w:val="20"/>
        </w:rPr>
        <w:t xml:space="preserve"> к местам установки расчетных приборов учета, </w:t>
      </w:r>
      <w:r w:rsidRPr="005F481A">
        <w:rPr>
          <w:rFonts w:ascii="Times New Roman" w:hAnsi="Times New Roman" w:cs="Times New Roman"/>
          <w:sz w:val="20"/>
          <w:szCs w:val="20"/>
          <w:u w:val="single"/>
        </w:rPr>
        <w:t>в то время как техническая возможность установки прибора учета в ином месте, максимально приближенном к границе балансовой принадлежности, отсутствует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F481A">
        <w:rPr>
          <w:rFonts w:ascii="Times New Roman" w:hAnsi="Times New Roman" w:cs="Times New Roman"/>
          <w:b/>
          <w:i/>
          <w:sz w:val="20"/>
          <w:szCs w:val="20"/>
        </w:rPr>
        <w:t>⸙Порядок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допуска </w:t>
      </w:r>
      <w:r w:rsidRPr="00C9234A">
        <w:rPr>
          <w:rFonts w:ascii="Times New Roman" w:hAnsi="Times New Roman" w:cs="Times New Roman"/>
          <w:b/>
          <w:i/>
          <w:sz w:val="20"/>
          <w:szCs w:val="20"/>
        </w:rPr>
        <w:t>к эксплуатации прибора учета</w:t>
      </w:r>
      <w:r w:rsidRPr="004F0B1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F481A">
        <w:rPr>
          <w:rFonts w:ascii="Times New Roman" w:hAnsi="Times New Roman" w:cs="Times New Roman"/>
          <w:b/>
          <w:i/>
          <w:sz w:val="20"/>
          <w:szCs w:val="20"/>
        </w:rPr>
        <w:t>электроэнергии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Сетевые организации осуществляют допуск в эксплуатацию приборов учета, которые установлены для обеспечения коммерческого учета электрической энергии (мощности)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(мощности), объектов по производству электрической энергии (мощности) на розничных рынках и объектов электросетевого хозяйства, принадлежащих сетевым организациям и иным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лицам, с приглашением следующих лиц: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гарантирующего поставщика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энергосбытовой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энергоснабжающей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организации), с которым в отношении энергопринимающих устройств (объектов по производству электрической энергии (мощности) заключен договор энергоснабжения (купли-продажи электрической энергии);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собственника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владелеца</w:t>
      </w:r>
      <w:proofErr w:type="spellEnd"/>
      <w:r>
        <w:rPr>
          <w:rFonts w:ascii="Times New Roman" w:hAnsi="Times New Roman" w:cs="Times New Roman"/>
          <w:sz w:val="20"/>
          <w:szCs w:val="20"/>
        </w:rPr>
        <w:t>) энергопринимающих устройств (объектов по производству электрической энергии (мощности), объектов электросетевого хозяйства), в отношении которых произведена установка либо замена прибора учета.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F0B18" w:rsidRPr="008C6384" w:rsidRDefault="004F0B18" w:rsidP="004F0B1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Times New Roman"/>
          <w:sz w:val="19"/>
          <w:szCs w:val="19"/>
        </w:rPr>
      </w:pPr>
      <w:r w:rsidRPr="0007146B">
        <w:rPr>
          <w:rFonts w:ascii="Consolas" w:hAnsi="Consolas" w:cs="Times New Roman"/>
          <w:sz w:val="19"/>
          <w:szCs w:val="19"/>
          <w:u w:val="single"/>
        </w:rPr>
        <w:t>Процедура допуска</w:t>
      </w:r>
      <w:r w:rsidRPr="008C6384">
        <w:rPr>
          <w:rFonts w:ascii="Consolas" w:hAnsi="Consolas" w:cs="Times New Roman"/>
          <w:sz w:val="19"/>
          <w:szCs w:val="19"/>
        </w:rPr>
        <w:t xml:space="preserve"> к эксплуатации прибора учета </w:t>
      </w:r>
      <w:r w:rsidRPr="0007146B">
        <w:rPr>
          <w:rFonts w:ascii="Consolas" w:hAnsi="Consolas" w:cs="Times New Roman"/>
          <w:sz w:val="19"/>
          <w:szCs w:val="19"/>
          <w:u w:val="single"/>
        </w:rPr>
        <w:t>не требуется</w:t>
      </w:r>
      <w:r w:rsidRPr="008C6384">
        <w:rPr>
          <w:rFonts w:ascii="Consolas" w:hAnsi="Consolas" w:cs="Times New Roman"/>
          <w:sz w:val="19"/>
          <w:szCs w:val="19"/>
        </w:rPr>
        <w:t xml:space="preserve">, в случае </w:t>
      </w:r>
      <w:r w:rsidRPr="0007146B">
        <w:rPr>
          <w:rFonts w:ascii="Consolas" w:hAnsi="Consolas" w:cs="Times New Roman"/>
          <w:sz w:val="19"/>
          <w:szCs w:val="19"/>
          <w:u w:val="single"/>
        </w:rPr>
        <w:t>если в рамках</w:t>
      </w:r>
      <w:r w:rsidRPr="008C6384">
        <w:rPr>
          <w:rFonts w:ascii="Consolas" w:hAnsi="Consolas" w:cs="Times New Roman"/>
          <w:sz w:val="19"/>
          <w:szCs w:val="19"/>
        </w:rPr>
        <w:t xml:space="preserve"> процедуры </w:t>
      </w:r>
      <w:r w:rsidRPr="0007146B">
        <w:rPr>
          <w:rFonts w:ascii="Consolas" w:hAnsi="Consolas" w:cs="Times New Roman"/>
          <w:sz w:val="19"/>
          <w:szCs w:val="19"/>
          <w:u w:val="single"/>
        </w:rPr>
        <w:t>установки (замены) прибора учета или смены собственника прибора учета сохраняются контрольные пломбы и знаки визуального контроля, установленные ранее при допуске</w:t>
      </w:r>
      <w:r w:rsidRPr="008C6384">
        <w:rPr>
          <w:rFonts w:ascii="Consolas" w:hAnsi="Consolas" w:cs="Times New Roman"/>
          <w:sz w:val="19"/>
          <w:szCs w:val="19"/>
        </w:rPr>
        <w:t xml:space="preserve"> к эксплуатации соответствующего прибора учета.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0B18" w:rsidRPr="00C43F90" w:rsidRDefault="004F0B18" w:rsidP="004F0B1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51BF">
        <w:rPr>
          <w:rFonts w:ascii="Consolas" w:hAnsi="Consolas" w:cs="Times New Roman"/>
          <w:sz w:val="19"/>
          <w:szCs w:val="19"/>
          <w:u w:val="single"/>
        </w:rPr>
        <w:t>При технологическом присоединении</w:t>
      </w:r>
      <w:r w:rsidRPr="00C43F90">
        <w:rPr>
          <w:rFonts w:ascii="Consolas" w:hAnsi="Consolas" w:cs="Times New Roman"/>
          <w:sz w:val="19"/>
          <w:szCs w:val="19"/>
        </w:rPr>
        <w:t xml:space="preserve"> энергопринимающих устройств потребителей,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</w:t>
      </w:r>
      <w:r w:rsidRPr="000B51BF">
        <w:rPr>
          <w:rFonts w:ascii="Consolas" w:hAnsi="Consolas" w:cs="Times New Roman"/>
          <w:sz w:val="19"/>
          <w:szCs w:val="19"/>
          <w:u w:val="single"/>
        </w:rPr>
        <w:t>допуск к эксплуатации приборов учета</w:t>
      </w:r>
      <w:r w:rsidRPr="00C43F90">
        <w:rPr>
          <w:rFonts w:ascii="Consolas" w:hAnsi="Consolas" w:cs="Times New Roman"/>
          <w:sz w:val="19"/>
          <w:szCs w:val="19"/>
        </w:rPr>
        <w:t xml:space="preserve"> электрической энергии, установленных в процессе технологического присоединения, </w:t>
      </w:r>
      <w:r w:rsidRPr="000B51BF">
        <w:rPr>
          <w:rFonts w:ascii="Consolas" w:hAnsi="Consolas" w:cs="Times New Roman"/>
          <w:sz w:val="19"/>
          <w:szCs w:val="19"/>
          <w:u w:val="single"/>
        </w:rPr>
        <w:t>осуществляется сетевой организацией одновременно с осмотром присоединяемых электроустановок</w:t>
      </w:r>
      <w:r w:rsidRPr="00C43F90">
        <w:rPr>
          <w:rFonts w:ascii="Consolas" w:hAnsi="Consolas" w:cs="Times New Roman"/>
          <w:sz w:val="19"/>
          <w:szCs w:val="19"/>
        </w:rPr>
        <w:t xml:space="preserve"> заявителя, предусмотренным </w:t>
      </w:r>
      <w:hyperlink r:id="rId5" w:history="1">
        <w:r w:rsidRPr="00C43F90">
          <w:rPr>
            <w:rFonts w:ascii="Consolas" w:hAnsi="Consolas" w:cs="Times New Roman"/>
            <w:sz w:val="19"/>
            <w:szCs w:val="19"/>
          </w:rPr>
          <w:t>Правилами</w:t>
        </w:r>
      </w:hyperlink>
      <w:r w:rsidRPr="00C43F90">
        <w:rPr>
          <w:rFonts w:ascii="Consolas" w:hAnsi="Consolas" w:cs="Times New Roman"/>
          <w:sz w:val="19"/>
          <w:szCs w:val="19"/>
        </w:rPr>
        <w:t xml:space="preserve"> технологического присоединения.</w:t>
      </w:r>
      <w:proofErr w:type="gramEnd"/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Допуск в эксплуатацию прибора учета осуществляется при участии уполномоченных представителей лиц, которым направлялся запрос на установку (замену) прибора учета или приглашение для участия в процедуре допуска. </w:t>
      </w:r>
      <w:proofErr w:type="gramStart"/>
      <w:r>
        <w:rPr>
          <w:rFonts w:ascii="Times New Roman" w:hAnsi="Times New Roman" w:cs="Times New Roman"/>
          <w:sz w:val="20"/>
          <w:szCs w:val="20"/>
        </w:rPr>
        <w:t>В случае неявки для участия в процедуре допуска прибора учета в эксплуатацию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лиц и (или) их представителей из числа тех, кому направлялся запрос на установку (замену) прибора учета или приглашение для участия в процедуре допуска прибора учета в эксплуатацию, такая процедура проводится без их участия.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окончании допуска в эксплуатацию прибора учета в местах и способом, которые определены в соответствии с законодательством РФ об обеспечении единства измерений и о техническом регулировании, подлежит установке контрольная одноразовая номерная пломба (далее - контрольная пломба) и (или) знаки визуального контроля. Контрольная пломба и (или) знаки визуального контроля устанавливаются организацией, осуществляющей допуск в эксплуатацию прибора учета.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форме, предусмотренной приложением № 16 к Правилам технологического присоединения.</w:t>
      </w:r>
      <w:proofErr w:type="gramEnd"/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точек присоединения к объектам электросетевого хозяйства напряжением свыше 1 кВ по итогам процедуры допуска в эксплуатацию прибора учета, установленного (подключенного) через измерительные трансформаторы, дополнительно составляется паспорт-протокол измерительного комплекса. Паспорт-протокол измерительного комплекса должен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содержать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том числе описание прибора учета и измерительных трансформаторов (номер, тип, дату поверки), интервал между поверками, расчет погрешности измерительного комплекса, величину падения напряжения в измерительных цепях трансформатора напряжения, нагрузку токовых цепей трансформатора тока. Паспорт-протокол измерительного комплекса должен находиться у собственника прибора учета, входящего в состав измерительного комплекса, и актуализироваться по мере проведения инструментальных проверок. </w:t>
      </w:r>
    </w:p>
    <w:p w:rsidR="004F0B18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Акт допуска прибора учета электрической энергии в эксплуатацию составляется в количестве экземпляров, равном числу приглашенных лиц, и подписывается уполномоченными представителями приглашенных лиц, которые приняли участие в процедуре допуска прибора учета в эксплуатацию.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 отказе уполномоченного представителя приглашенного лица от подписания составленного акта в нем делается соответствующая отметка.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эксплуатацию.</w:t>
      </w:r>
    </w:p>
    <w:p w:rsidR="001B4CD0" w:rsidRDefault="004F0B18" w:rsidP="004F0B18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0"/>
          <w:szCs w:val="20"/>
        </w:rPr>
        <w:t>В случае неявки для участия в процедуре допуска прибора учета в эксплуатацию лиц и (или) их представителей из числа тех, кому направлялся запрос на установку (замену) прибора учета или приглашение для участия в процедуре допуска прибора учета в эксплуатацию, лицо, составившее акт допуска прибора учета в эксплуатацию, обязано в течение 2 рабочих дней со дня проведения такой процедуры направить копии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такого акта лицам, не явившимся для участия в процедуре допуска прибора учета в эксплуатацию.</w:t>
      </w:r>
    </w:p>
    <w:sectPr w:rsidR="001B4CD0" w:rsidSect="004F0B1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0B18"/>
    <w:rsid w:val="001B4CD0"/>
    <w:rsid w:val="004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550A02A3C693680CF2663B5C2EC320AE9C8DCC42567916E368F446FEC2E8D60C3002FABD4CC16CC50DA1E515494482ABFDC498842F95A0H4JCO" TargetMode="External"/><Relationship Id="rId4" Type="http://schemas.openxmlformats.org/officeDocument/2006/relationships/hyperlink" Target="consultantplus://offline/ref=CDB9F676639CB750AE9CDA4E0765131CE26E632CEEDEBE941CDC64DAE7912D0E6C4D80AAC49C864D519C7D6ADE4FAC6FC8DDD143FF27p7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1714</Words>
  <Characters>9775</Characters>
  <Application>Microsoft Office Word</Application>
  <DocSecurity>0</DocSecurity>
  <Lines>81</Lines>
  <Paragraphs>22</Paragraphs>
  <ScaleCrop>false</ScaleCrop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2П</dc:creator>
  <cp:keywords/>
  <dc:description/>
  <cp:lastModifiedBy>2П</cp:lastModifiedBy>
  <cp:revision>2</cp:revision>
  <dcterms:created xsi:type="dcterms:W3CDTF">2022-03-15T19:43:00Z</dcterms:created>
  <dcterms:modified xsi:type="dcterms:W3CDTF">2022-03-15T19:44:00Z</dcterms:modified>
</cp:coreProperties>
</file>