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80" w:rsidRDefault="00104480" w:rsidP="00104480">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20"/>
          <w:szCs w:val="20"/>
        </w:rPr>
        <w:t>Общие требования, связанные</w:t>
      </w:r>
      <w:r w:rsidRPr="00C6302A">
        <w:rPr>
          <w:rFonts w:ascii="Times New Roman" w:hAnsi="Times New Roman" w:cs="Times New Roman"/>
          <w:b/>
          <w:bCs/>
          <w:sz w:val="20"/>
          <w:szCs w:val="20"/>
        </w:rPr>
        <w:t xml:space="preserve"> с обеспечением коммерческого учета электрической энергии (мощности) на розничных рынках электрической энергии</w:t>
      </w:r>
      <w:r>
        <w:rPr>
          <w:rFonts w:ascii="Times New Roman" w:hAnsi="Times New Roman" w:cs="Times New Roman"/>
          <w:b/>
          <w:bCs/>
          <w:sz w:val="36"/>
          <w:szCs w:val="36"/>
        </w:rPr>
        <w:t xml:space="preserve"> </w:t>
      </w:r>
    </w:p>
    <w:p w:rsidR="00104480" w:rsidRDefault="00104480" w:rsidP="00104480">
      <w:pPr>
        <w:autoSpaceDE w:val="0"/>
        <w:autoSpaceDN w:val="0"/>
        <w:adjustRightInd w:val="0"/>
        <w:spacing w:after="0" w:line="240" w:lineRule="auto"/>
        <w:jc w:val="center"/>
        <w:rPr>
          <w:rFonts w:ascii="Times New Roman" w:hAnsi="Times New Roman" w:cs="Times New Roman"/>
          <w:b/>
          <w:bCs/>
          <w:sz w:val="36"/>
          <w:szCs w:val="36"/>
        </w:rPr>
      </w:pPr>
    </w:p>
    <w:p w:rsidR="00104480" w:rsidRPr="00656BF6" w:rsidRDefault="00104480" w:rsidP="00104480">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656BF6">
        <w:rPr>
          <w:rFonts w:ascii="Times New Roman" w:hAnsi="Times New Roman" w:cs="Times New Roman"/>
          <w:bCs/>
          <w:sz w:val="20"/>
          <w:szCs w:val="20"/>
        </w:rPr>
        <w:t>Обеспечение коммерческого учета электрической энергии (мощности) на розничных рынках в отношении непосредственно или опосредованно присоединенных к принадлежащим сетевой организации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w:t>
      </w:r>
      <w:proofErr w:type="gramEnd"/>
      <w:r w:rsidRPr="00656BF6">
        <w:rPr>
          <w:rFonts w:ascii="Times New Roman" w:hAnsi="Times New Roman" w:cs="Times New Roman"/>
          <w:bCs/>
          <w:sz w:val="20"/>
          <w:szCs w:val="20"/>
        </w:rPr>
        <w:t xml:space="preserve"> </w:t>
      </w:r>
      <w:proofErr w:type="gramStart"/>
      <w:r w:rsidRPr="00656BF6">
        <w:rPr>
          <w:rFonts w:ascii="Times New Roman" w:hAnsi="Times New Roman" w:cs="Times New Roman"/>
          <w:bCs/>
          <w:sz w:val="20"/>
          <w:szCs w:val="20"/>
        </w:rPr>
        <w:t>рынках и объектов электросетевого хозяйства, осуществляется сетевой организацией,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roofErr w:type="gramEnd"/>
    </w:p>
    <w:p w:rsidR="00104480" w:rsidRPr="00656BF6" w:rsidRDefault="00104480" w:rsidP="00104480">
      <w:pPr>
        <w:autoSpaceDE w:val="0"/>
        <w:autoSpaceDN w:val="0"/>
        <w:adjustRightInd w:val="0"/>
        <w:spacing w:after="0" w:line="240" w:lineRule="auto"/>
        <w:ind w:firstLine="540"/>
        <w:jc w:val="both"/>
        <w:rPr>
          <w:rFonts w:ascii="Times New Roman" w:hAnsi="Times New Roman" w:cs="Times New Roman"/>
          <w:bCs/>
          <w:sz w:val="20"/>
          <w:szCs w:val="20"/>
        </w:rPr>
      </w:pPr>
      <w:r w:rsidRPr="00656BF6">
        <w:rPr>
          <w:rFonts w:ascii="Times New Roman" w:hAnsi="Times New Roman" w:cs="Times New Roman"/>
          <w:bCs/>
          <w:sz w:val="20"/>
          <w:szCs w:val="20"/>
        </w:rPr>
        <w:t>- 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w:t>
      </w:r>
    </w:p>
    <w:p w:rsidR="00104480" w:rsidRPr="00656BF6" w:rsidRDefault="00104480" w:rsidP="00104480">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656BF6">
        <w:rPr>
          <w:rFonts w:ascii="Times New Roman" w:hAnsi="Times New Roman" w:cs="Times New Roman"/>
          <w:bCs/>
          <w:sz w:val="20"/>
          <w:szCs w:val="20"/>
        </w:rPr>
        <w:t xml:space="preserve">- 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4" w:history="1">
        <w:r w:rsidRPr="00656BF6">
          <w:rPr>
            <w:rFonts w:ascii="Times New Roman" w:hAnsi="Times New Roman" w:cs="Times New Roman"/>
            <w:bCs/>
            <w:sz w:val="20"/>
            <w:szCs w:val="20"/>
          </w:rPr>
          <w:t>законом</w:t>
        </w:r>
      </w:hyperlink>
      <w:r w:rsidRPr="00656BF6">
        <w:rPr>
          <w:rFonts w:ascii="Times New Roman" w:hAnsi="Times New Roman" w:cs="Times New Roman"/>
          <w:bCs/>
          <w:sz w:val="20"/>
          <w:szCs w:val="20"/>
        </w:rP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w:t>
      </w:r>
      <w:proofErr w:type="spellStart"/>
      <w:r w:rsidRPr="00656BF6">
        <w:rPr>
          <w:rFonts w:ascii="Times New Roman" w:hAnsi="Times New Roman" w:cs="Times New Roman"/>
          <w:bCs/>
          <w:sz w:val="20"/>
          <w:szCs w:val="20"/>
        </w:rPr>
        <w:t>общедомовыми</w:t>
      </w:r>
      <w:proofErr w:type="spellEnd"/>
      <w:r w:rsidRPr="00656BF6">
        <w:rPr>
          <w:rFonts w:ascii="Times New Roman" w:hAnsi="Times New Roman" w:cs="Times New Roman"/>
          <w:bCs/>
          <w:sz w:val="20"/>
          <w:szCs w:val="20"/>
        </w:rPr>
        <w:t>)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roofErr w:type="gramEnd"/>
    </w:p>
    <w:p w:rsidR="00104480" w:rsidRDefault="00104480" w:rsidP="00104480">
      <w:pPr>
        <w:autoSpaceDE w:val="0"/>
        <w:autoSpaceDN w:val="0"/>
        <w:adjustRightInd w:val="0"/>
        <w:spacing w:after="0" w:line="240" w:lineRule="auto"/>
        <w:ind w:firstLine="540"/>
        <w:jc w:val="both"/>
        <w:rPr>
          <w:rFonts w:ascii="Times New Roman" w:hAnsi="Times New Roman" w:cs="Times New Roman"/>
          <w:bCs/>
          <w:sz w:val="21"/>
          <w:szCs w:val="21"/>
        </w:rPr>
      </w:pPr>
    </w:p>
    <w:p w:rsidR="00104480" w:rsidRDefault="00104480" w:rsidP="00104480">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DE0F01">
        <w:rPr>
          <w:rFonts w:ascii="Times New Roman" w:hAnsi="Times New Roman" w:cs="Times New Roman"/>
          <w:sz w:val="20"/>
          <w:szCs w:val="20"/>
        </w:rPr>
        <w:t xml:space="preserve">Приборы учета, показания которых используются на розничных рынках, должны соответствовать требованиям законодательства РФ об обеспечении единства измерений, </w:t>
      </w:r>
      <w:hyperlink r:id="rId5" w:history="1">
        <w:r w:rsidRPr="00DE0F01">
          <w:rPr>
            <w:rFonts w:ascii="Times New Roman" w:hAnsi="Times New Roman" w:cs="Times New Roman"/>
            <w:sz w:val="20"/>
            <w:szCs w:val="20"/>
          </w:rPr>
          <w:t>постановления</w:t>
        </w:r>
      </w:hyperlink>
      <w:r w:rsidRPr="00DE0F01">
        <w:rPr>
          <w:rFonts w:ascii="Times New Roman" w:hAnsi="Times New Roman" w:cs="Times New Roman"/>
          <w:sz w:val="20"/>
          <w:szCs w:val="20"/>
        </w:rPr>
        <w:t xml:space="preserve"> Правительства РФ от 17.07.2015 г. №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Х разделом Основных положений, в том числе к месту установки</w:t>
      </w:r>
      <w:proofErr w:type="gramEnd"/>
      <w:r w:rsidRPr="00DE0F01">
        <w:rPr>
          <w:rFonts w:ascii="Times New Roman" w:hAnsi="Times New Roman" w:cs="Times New Roman"/>
          <w:sz w:val="20"/>
          <w:szCs w:val="20"/>
        </w:rPr>
        <w:t xml:space="preserve"> и классу точности, иметь неповрежденные контрольные пломбы и (или) знаки визуального контроля, допущены в эксплуатацию в порядке, предусмотренном законодательством РФ об электроэнергетике на дату допуска.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104480" w:rsidRDefault="00104480" w:rsidP="00104480">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CC7242">
        <w:rPr>
          <w:rFonts w:ascii="Times New Roman" w:hAnsi="Times New Roman" w:cs="Times New Roman"/>
          <w:sz w:val="20"/>
          <w:szCs w:val="20"/>
        </w:rP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6" w:history="1">
        <w:r w:rsidRPr="00CC7242">
          <w:rPr>
            <w:rFonts w:ascii="Times New Roman" w:hAnsi="Times New Roman" w:cs="Times New Roman"/>
            <w:sz w:val="20"/>
            <w:szCs w:val="20"/>
          </w:rPr>
          <w:t>правилами</w:t>
        </w:r>
      </w:hyperlink>
      <w:r w:rsidRPr="00CC7242">
        <w:rPr>
          <w:rFonts w:ascii="Times New Roman" w:hAnsi="Times New Roman" w:cs="Times New Roman"/>
          <w:sz w:val="20"/>
          <w:szCs w:val="20"/>
        </w:rPr>
        <w:t xml:space="preserve"> предоставления доступа к минимальному набору функций интеллектуальных систем учета электрической энергии (мощности)</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CC7242">
        <w:rPr>
          <w:rFonts w:ascii="Times New Roman" w:hAnsi="Times New Roman" w:cs="Times New Roman"/>
          <w:sz w:val="20"/>
          <w:szCs w:val="20"/>
        </w:rPr>
        <w:t>До 1 января 2022 г. сетевые организации вправе осуществлять установку приборов учета, соответствующих требованиям, предусмотренным указанными правилами.</w:t>
      </w:r>
    </w:p>
    <w:p w:rsidR="00104480" w:rsidRDefault="00104480" w:rsidP="00104480">
      <w:pPr>
        <w:autoSpaceDE w:val="0"/>
        <w:autoSpaceDN w:val="0"/>
        <w:adjustRightInd w:val="0"/>
        <w:spacing w:after="0" w:line="240" w:lineRule="auto"/>
        <w:ind w:firstLine="539"/>
        <w:jc w:val="both"/>
        <w:rPr>
          <w:rFonts w:ascii="Times New Roman" w:hAnsi="Times New Roman" w:cs="Times New Roman"/>
          <w:sz w:val="20"/>
          <w:szCs w:val="20"/>
        </w:rPr>
      </w:pPr>
    </w:p>
    <w:p w:rsidR="00104480" w:rsidRPr="00757D08"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757D08">
        <w:rPr>
          <w:rFonts w:ascii="Times New Roman" w:hAnsi="Times New Roman" w:cs="Times New Roman"/>
          <w:sz w:val="20"/>
          <w:szCs w:val="20"/>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 w:history="1">
        <w:r w:rsidRPr="00757D08">
          <w:rPr>
            <w:rFonts w:ascii="Times New Roman" w:hAnsi="Times New Roman" w:cs="Times New Roman"/>
            <w:sz w:val="20"/>
            <w:szCs w:val="20"/>
          </w:rPr>
          <w:t>правил</w:t>
        </w:r>
      </w:hyperlink>
      <w:r w:rsidRPr="00757D08">
        <w:rPr>
          <w:rFonts w:ascii="Times New Roman" w:hAnsi="Times New Roman" w:cs="Times New Roman"/>
          <w:sz w:val="20"/>
          <w:szCs w:val="20"/>
        </w:rPr>
        <w:t xml:space="preserve"> предоставления доступа к минимальному набору функций интеллектуальных систем учета электрической энергии (мощности), а для потребителей с максимальной мощностью не менее 670 кВт, - в том числе приборы учета, обеспечивающие хранение данных о почасовых объемах потребления электрической энергии за последние 90 дней и более.</w:t>
      </w:r>
      <w:proofErr w:type="gramEnd"/>
    </w:p>
    <w:p w:rsidR="00104480"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757D08">
        <w:rPr>
          <w:rFonts w:ascii="Times New Roman" w:hAnsi="Times New Roman" w:cs="Times New Roman"/>
          <w:sz w:val="20"/>
          <w:szCs w:val="20"/>
        </w:rPr>
        <w:t>Прибор учета электрической энергии, который может быть присоединен к интеллектуальной системе учета, должен обеспечивать в точке учета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w:t>
      </w:r>
      <w:proofErr w:type="gramEnd"/>
      <w:r w:rsidRPr="00757D08">
        <w:rPr>
          <w:rFonts w:ascii="Times New Roman" w:hAnsi="Times New Roman" w:cs="Times New Roman"/>
          <w:sz w:val="20"/>
          <w:szCs w:val="20"/>
        </w:rPr>
        <w:t xml:space="preserve">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w:t>
      </w:r>
      <w:r>
        <w:rPr>
          <w:rFonts w:ascii="Times New Roman" w:hAnsi="Times New Roman" w:cs="Times New Roman"/>
          <w:sz w:val="20"/>
          <w:szCs w:val="20"/>
        </w:rPr>
        <w:t>.</w:t>
      </w:r>
    </w:p>
    <w:p w:rsidR="00104480"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r w:rsidRPr="00757D08">
        <w:rPr>
          <w:rFonts w:ascii="Times New Roman" w:hAnsi="Times New Roman" w:cs="Times New Roman"/>
          <w:sz w:val="20"/>
          <w:szCs w:val="20"/>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104480"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
    <w:p w:rsidR="00104480" w:rsidRPr="00401C82"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01C82">
        <w:rPr>
          <w:rFonts w:ascii="Times New Roman" w:hAnsi="Times New Roman" w:cs="Times New Roman"/>
          <w:sz w:val="20"/>
          <w:szCs w:val="20"/>
          <w:u w:val="single"/>
        </w:rPr>
        <w:t>При технологическом присоединении</w:t>
      </w:r>
      <w:r w:rsidRPr="00401C82">
        <w:rPr>
          <w:rFonts w:ascii="Times New Roman" w:hAnsi="Times New Roman" w:cs="Times New Roman"/>
          <w:sz w:val="20"/>
          <w:szCs w:val="20"/>
        </w:rPr>
        <w:t xml:space="preserve">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w:t>
      </w:r>
      <w:proofErr w:type="gramEnd"/>
      <w:r w:rsidRPr="00401C82">
        <w:rPr>
          <w:rFonts w:ascii="Times New Roman" w:hAnsi="Times New Roman" w:cs="Times New Roman"/>
          <w:sz w:val="20"/>
          <w:szCs w:val="20"/>
        </w:rPr>
        <w:t xml:space="preserve">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 w:history="1">
        <w:r w:rsidRPr="00401C82">
          <w:rPr>
            <w:rFonts w:ascii="Times New Roman" w:hAnsi="Times New Roman" w:cs="Times New Roman"/>
            <w:sz w:val="20"/>
            <w:szCs w:val="20"/>
          </w:rPr>
          <w:t>Правилами</w:t>
        </w:r>
      </w:hyperlink>
      <w:r w:rsidRPr="00401C82">
        <w:rPr>
          <w:rFonts w:ascii="Times New Roman" w:hAnsi="Times New Roman" w:cs="Times New Roman"/>
          <w:sz w:val="20"/>
          <w:szCs w:val="20"/>
        </w:rPr>
        <w:t xml:space="preserve"> технологического присоединения.</w:t>
      </w:r>
    </w:p>
    <w:p w:rsidR="00104480" w:rsidRPr="00401C82"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r w:rsidRPr="00401C82">
        <w:rPr>
          <w:rFonts w:ascii="Times New Roman" w:hAnsi="Times New Roman" w:cs="Times New Roman"/>
          <w:sz w:val="20"/>
          <w:szCs w:val="20"/>
        </w:rPr>
        <w:t xml:space="preserve">При установке приборов учета в </w:t>
      </w:r>
      <w:r w:rsidRPr="00401C82">
        <w:rPr>
          <w:rFonts w:ascii="Times New Roman" w:hAnsi="Times New Roman" w:cs="Times New Roman"/>
          <w:sz w:val="20"/>
          <w:szCs w:val="20"/>
          <w:u w:val="single"/>
        </w:rPr>
        <w:t>случаях, не связанных с технологическим присоединением</w:t>
      </w:r>
      <w:r w:rsidRPr="00401C82">
        <w:rPr>
          <w:rFonts w:ascii="Times New Roman" w:hAnsi="Times New Roman" w:cs="Times New Roman"/>
          <w:sz w:val="20"/>
          <w:szCs w:val="20"/>
        </w:rPr>
        <w:t xml:space="preserve">,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 </w:t>
      </w:r>
      <w:proofErr w:type="gramStart"/>
      <w:r w:rsidRPr="00401C82">
        <w:rPr>
          <w:rFonts w:ascii="Times New Roman" w:hAnsi="Times New Roman" w:cs="Times New Roman"/>
          <w:sz w:val="20"/>
          <w:szCs w:val="20"/>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w:t>
      </w:r>
      <w:proofErr w:type="gramEnd"/>
      <w:r w:rsidRPr="00401C82">
        <w:rPr>
          <w:rFonts w:ascii="Times New Roman" w:hAnsi="Times New Roman" w:cs="Times New Roman"/>
          <w:sz w:val="20"/>
          <w:szCs w:val="20"/>
        </w:rPr>
        <w:t xml:space="preserve"> При этом прибор учета может быть установлен в границах объектов электроэнергетики (энергопринимающих устройств) смежного субъекта.</w:t>
      </w:r>
    </w:p>
    <w:p w:rsidR="00104480" w:rsidRPr="00401C82"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
    <w:p w:rsidR="00104480"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r w:rsidRPr="00401C82">
        <w:rPr>
          <w:rFonts w:ascii="Times New Roman" w:hAnsi="Times New Roman" w:cs="Times New Roman"/>
          <w:sz w:val="20"/>
          <w:szCs w:val="20"/>
        </w:rPr>
        <w:t xml:space="preserve">При отсутствии технической </w:t>
      </w:r>
      <w:proofErr w:type="gramStart"/>
      <w:r w:rsidRPr="00401C82">
        <w:rPr>
          <w:rFonts w:ascii="Times New Roman" w:hAnsi="Times New Roman" w:cs="Times New Roman"/>
          <w:sz w:val="20"/>
          <w:szCs w:val="20"/>
        </w:rPr>
        <w:t>возможности установки прибора учета</w:t>
      </w:r>
      <w:proofErr w:type="gramEnd"/>
      <w:r w:rsidRPr="00401C82">
        <w:rPr>
          <w:rFonts w:ascii="Times New Roman" w:hAnsi="Times New Roman" w:cs="Times New Roman"/>
          <w:sz w:val="20"/>
          <w:szCs w:val="20"/>
        </w:rPr>
        <w:t xml:space="preserve">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104480"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r w:rsidRPr="00401C82">
        <w:rPr>
          <w:rFonts w:ascii="Times New Roman" w:hAnsi="Times New Roman" w:cs="Times New Roman"/>
          <w:i/>
          <w:sz w:val="20"/>
          <w:szCs w:val="20"/>
        </w:rPr>
        <w:t>⸙Место, максимально приближенное к границе балансовой принадлежности</w:t>
      </w:r>
      <w:r w:rsidRPr="00401C82">
        <w:rPr>
          <w:rFonts w:ascii="Times New Roman" w:hAnsi="Times New Roman" w:cs="Times New Roman"/>
          <w:sz w:val="20"/>
          <w:szCs w:val="20"/>
        </w:rPr>
        <w:t xml:space="preserve"> - место, максимально приближенное к точке поставки, в </w:t>
      </w:r>
      <w:proofErr w:type="gramStart"/>
      <w:r w:rsidRPr="00401C82">
        <w:rPr>
          <w:rFonts w:ascii="Times New Roman" w:hAnsi="Times New Roman" w:cs="Times New Roman"/>
          <w:sz w:val="20"/>
          <w:szCs w:val="20"/>
        </w:rPr>
        <w:t>котором</w:t>
      </w:r>
      <w:proofErr w:type="gramEnd"/>
      <w:r w:rsidRPr="00401C82">
        <w:rPr>
          <w:rFonts w:ascii="Times New Roman" w:hAnsi="Times New Roman" w:cs="Times New Roman"/>
          <w:sz w:val="20"/>
          <w:szCs w:val="20"/>
        </w:rPr>
        <w:t xml:space="preserve"> имеется техническая возможность установки прибора учета. </w:t>
      </w:r>
      <w:proofErr w:type="gramStart"/>
      <w:r w:rsidRPr="00401C82">
        <w:rPr>
          <w:rFonts w:ascii="Times New Roman" w:hAnsi="Times New Roman" w:cs="Times New Roman"/>
          <w:sz w:val="20"/>
          <w:szCs w:val="20"/>
        </w:rPr>
        <w:t>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roofErr w:type="gramEnd"/>
    </w:p>
    <w:p w:rsidR="00104480" w:rsidRDefault="00104480" w:rsidP="00104480">
      <w:pPr>
        <w:spacing w:after="0" w:line="240" w:lineRule="auto"/>
        <w:ind w:firstLine="567"/>
        <w:jc w:val="both"/>
        <w:rPr>
          <w:rFonts w:ascii="Times New Roman" w:eastAsia="Times New Roman" w:hAnsi="Times New Roman" w:cs="Times New Roman"/>
          <w:sz w:val="20"/>
          <w:szCs w:val="20"/>
          <w:lang w:eastAsia="ru-RU"/>
        </w:rPr>
      </w:pP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proofErr w:type="gramStart"/>
      <w:r w:rsidRPr="00401C82">
        <w:rPr>
          <w:rFonts w:ascii="Times New Roman" w:eastAsia="Times New Roman" w:hAnsi="Times New Roman" w:cs="Times New Roman"/>
          <w:i/>
          <w:sz w:val="20"/>
          <w:szCs w:val="20"/>
          <w:lang w:eastAsia="ru-RU"/>
        </w:rPr>
        <w:t>Периодическая поверка</w:t>
      </w:r>
      <w:r w:rsidRPr="00401C82">
        <w:rPr>
          <w:rFonts w:ascii="Times New Roman" w:eastAsia="Times New Roman" w:hAnsi="Times New Roman" w:cs="Times New Roman"/>
          <w:sz w:val="20"/>
          <w:szCs w:val="20"/>
          <w:lang w:eastAsia="ru-RU"/>
        </w:rPr>
        <w:t xml:space="preserve">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РФ об обеспечении единства измерений.</w:t>
      </w:r>
      <w:proofErr w:type="gramEnd"/>
    </w:p>
    <w:p w:rsidR="00104480" w:rsidRDefault="00104480" w:rsidP="00104480">
      <w:pPr>
        <w:spacing w:after="0" w:line="240" w:lineRule="auto"/>
        <w:jc w:val="both"/>
        <w:rPr>
          <w:rFonts w:ascii="Times New Roman" w:eastAsia="Times New Roman" w:hAnsi="Times New Roman" w:cs="Times New Roman"/>
          <w:sz w:val="20"/>
          <w:szCs w:val="20"/>
          <w:lang w:eastAsia="ru-RU"/>
        </w:rPr>
      </w:pP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 xml:space="preserve">Каждый установленный прибор учета должен иметь на винтах, крепящих кожух счетчика, пломбы с клеймом </w:t>
      </w:r>
      <w:proofErr w:type="spellStart"/>
      <w:r w:rsidRPr="00401C82">
        <w:rPr>
          <w:rFonts w:ascii="Times New Roman" w:eastAsia="Times New Roman" w:hAnsi="Times New Roman" w:cs="Times New Roman"/>
          <w:sz w:val="20"/>
          <w:szCs w:val="20"/>
          <w:lang w:eastAsia="ru-RU"/>
        </w:rPr>
        <w:t>госповерителя</w:t>
      </w:r>
      <w:proofErr w:type="spellEnd"/>
      <w:r w:rsidRPr="00401C82">
        <w:rPr>
          <w:rFonts w:ascii="Times New Roman" w:eastAsia="Times New Roman" w:hAnsi="Times New Roman" w:cs="Times New Roman"/>
          <w:sz w:val="20"/>
          <w:szCs w:val="20"/>
          <w:lang w:eastAsia="ru-RU"/>
        </w:rPr>
        <w:t>, а на зажимной крышке - пломбу гарантирующего поставщика или сетевой организации.</w:t>
      </w:r>
    </w:p>
    <w:p w:rsidR="00104480" w:rsidRPr="00401C82" w:rsidRDefault="00104480" w:rsidP="00104480">
      <w:pPr>
        <w:spacing w:after="0" w:line="240" w:lineRule="auto"/>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На вновь устанавливаемых трехфазных приборах учета должны быть пломбы государственной поверки с давностью не более 12 мес., а на однофазных приборах учета - с давностью не более 2 лет.</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Приборы учета должны устанавливаться в шкафах, камерах, комплектных распределительных устройствах, на панелях, щитах, в нишах, на стенах, имеющих жесткую конструкцию.</w:t>
      </w:r>
      <w:r>
        <w:rPr>
          <w:rFonts w:ascii="Times New Roman" w:eastAsia="Times New Roman" w:hAnsi="Times New Roman" w:cs="Times New Roman"/>
          <w:sz w:val="20"/>
          <w:szCs w:val="20"/>
          <w:lang w:eastAsia="ru-RU"/>
        </w:rPr>
        <w:t xml:space="preserve"> </w:t>
      </w:r>
      <w:r w:rsidRPr="00401C82">
        <w:rPr>
          <w:rFonts w:ascii="Times New Roman" w:eastAsia="Times New Roman" w:hAnsi="Times New Roman" w:cs="Times New Roman"/>
          <w:sz w:val="20"/>
          <w:szCs w:val="20"/>
          <w:lang w:eastAsia="ru-RU"/>
        </w:rPr>
        <w:t xml:space="preserve">Допускается крепление приборов учета на деревянных, пластмассовых или металлических </w:t>
      </w:r>
      <w:proofErr w:type="spellStart"/>
      <w:r w:rsidRPr="00401C82">
        <w:rPr>
          <w:rFonts w:ascii="Times New Roman" w:eastAsia="Times New Roman" w:hAnsi="Times New Roman" w:cs="Times New Roman"/>
          <w:sz w:val="20"/>
          <w:szCs w:val="20"/>
          <w:lang w:eastAsia="ru-RU"/>
        </w:rPr>
        <w:t>щитках</w:t>
      </w:r>
      <w:proofErr w:type="gramStart"/>
      <w:r w:rsidRPr="00401C82">
        <w:rPr>
          <w:rFonts w:ascii="Times New Roman" w:eastAsia="Times New Roman" w:hAnsi="Times New Roman" w:cs="Times New Roman"/>
          <w:sz w:val="20"/>
          <w:szCs w:val="20"/>
          <w:lang w:eastAsia="ru-RU"/>
        </w:rPr>
        <w:t>.В</w:t>
      </w:r>
      <w:proofErr w:type="gramEnd"/>
      <w:r w:rsidRPr="00401C82">
        <w:rPr>
          <w:rFonts w:ascii="Times New Roman" w:eastAsia="Times New Roman" w:hAnsi="Times New Roman" w:cs="Times New Roman"/>
          <w:sz w:val="20"/>
          <w:szCs w:val="20"/>
          <w:lang w:eastAsia="ru-RU"/>
        </w:rPr>
        <w:t>ысота</w:t>
      </w:r>
      <w:proofErr w:type="spellEnd"/>
      <w:r w:rsidRPr="00401C82">
        <w:rPr>
          <w:rFonts w:ascii="Times New Roman" w:eastAsia="Times New Roman" w:hAnsi="Times New Roman" w:cs="Times New Roman"/>
          <w:sz w:val="20"/>
          <w:szCs w:val="20"/>
          <w:lang w:eastAsia="ru-RU"/>
        </w:rPr>
        <w:t xml:space="preserve"> от пола до коробки зажимов приборов учета должна быть в пределах 0,8 - 1,7 м. Допускается высота менее 0,8 м, но не менее 0,4 м.</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Должна быть обеспечена возможность удобной замены прибора учета и установки его с уклоном не более 1 град. Конструкция его крепления должна обеспечивать возможность установки и съема прибора учета с лицевой стороны.</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Для безопасной установки и замены прибора учета в сетях напряжением до 380</w:t>
      </w:r>
      <w:proofErr w:type="gramStart"/>
      <w:r w:rsidRPr="00401C82">
        <w:rPr>
          <w:rFonts w:ascii="Times New Roman" w:eastAsia="Times New Roman" w:hAnsi="Times New Roman" w:cs="Times New Roman"/>
          <w:sz w:val="20"/>
          <w:szCs w:val="20"/>
          <w:lang w:eastAsia="ru-RU"/>
        </w:rPr>
        <w:t xml:space="preserve"> В</w:t>
      </w:r>
      <w:proofErr w:type="gramEnd"/>
      <w:r w:rsidRPr="00401C82">
        <w:rPr>
          <w:rFonts w:ascii="Times New Roman" w:eastAsia="Times New Roman" w:hAnsi="Times New Roman" w:cs="Times New Roman"/>
          <w:sz w:val="20"/>
          <w:szCs w:val="20"/>
          <w:lang w:eastAsia="ru-RU"/>
        </w:rPr>
        <w:t xml:space="preserve"> должна предусматриваться возможность отключения прибора учета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прибору учета.</w:t>
      </w:r>
      <w:r w:rsidRPr="00401C82">
        <w:rPr>
          <w:rFonts w:ascii="Times New Roman" w:eastAsia="Times New Roman" w:hAnsi="Times New Roman" w:cs="Times New Roman"/>
          <w:b/>
          <w:bCs/>
          <w:sz w:val="20"/>
          <w:szCs w:val="20"/>
          <w:lang w:eastAsia="ru-RU"/>
        </w:rPr>
        <w:t> </w:t>
      </w:r>
    </w:p>
    <w:p w:rsidR="00104480"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Трансформаторы тока, используемые для присоединения счетчиков на напряжении до 380</w:t>
      </w:r>
      <w:proofErr w:type="gramStart"/>
      <w:r w:rsidRPr="00401C82">
        <w:rPr>
          <w:rFonts w:ascii="Times New Roman" w:eastAsia="Times New Roman" w:hAnsi="Times New Roman" w:cs="Times New Roman"/>
          <w:sz w:val="20"/>
          <w:szCs w:val="20"/>
          <w:lang w:eastAsia="ru-RU"/>
        </w:rPr>
        <w:t xml:space="preserve"> В</w:t>
      </w:r>
      <w:proofErr w:type="gramEnd"/>
      <w:r w:rsidRPr="00401C82">
        <w:rPr>
          <w:rFonts w:ascii="Times New Roman" w:eastAsia="Times New Roman" w:hAnsi="Times New Roman" w:cs="Times New Roman"/>
          <w:sz w:val="20"/>
          <w:szCs w:val="20"/>
          <w:lang w:eastAsia="ru-RU"/>
        </w:rPr>
        <w:t>, должны устанавливаться после коммутационных аппаратов по направлению потока мощности. </w:t>
      </w:r>
    </w:p>
    <w:p w:rsidR="00104480"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Шкаф учета должен:</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 xml:space="preserve">- соответствовать климатическому исполнению для наружной установки (вариант исполнения УХЛ-1 по ГОСТ 15150-69), </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 xml:space="preserve">- быть герметичным (степень защиты от проникновения воды не ниже 3, степень защиты от доступа к опасным частям – попадание внешних предметов не ниже 4 по ГОСТ 22261-94, степень защиты по ГОСТ </w:t>
      </w:r>
      <w:proofErr w:type="gramStart"/>
      <w:r w:rsidRPr="00401C82">
        <w:rPr>
          <w:rFonts w:ascii="Times New Roman" w:eastAsia="Times New Roman" w:hAnsi="Times New Roman" w:cs="Times New Roman"/>
          <w:sz w:val="20"/>
          <w:szCs w:val="20"/>
          <w:lang w:eastAsia="ru-RU"/>
        </w:rPr>
        <w:t>Р</w:t>
      </w:r>
      <w:proofErr w:type="gramEnd"/>
      <w:r w:rsidRPr="00401C82">
        <w:rPr>
          <w:rFonts w:ascii="Times New Roman" w:eastAsia="Times New Roman" w:hAnsi="Times New Roman" w:cs="Times New Roman"/>
          <w:sz w:val="20"/>
          <w:szCs w:val="20"/>
          <w:lang w:eastAsia="ru-RU"/>
        </w:rPr>
        <w:t xml:space="preserve"> 51321.1-2000 - IP54),</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 иметь небьющееся окно для снятия показаний прибора учета на уровне отсчетного устройства,</w:t>
      </w:r>
    </w:p>
    <w:p w:rsidR="00104480" w:rsidRPr="00401C82" w:rsidRDefault="00104480" w:rsidP="00104480">
      <w:pPr>
        <w:spacing w:after="0" w:line="240" w:lineRule="auto"/>
        <w:ind w:firstLine="567"/>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 иметь возможность пломбирования соответствующих отсеков или их частей.</w:t>
      </w:r>
    </w:p>
    <w:p w:rsidR="00104480" w:rsidRPr="00401C82" w:rsidRDefault="00104480" w:rsidP="00104480">
      <w:pPr>
        <w:spacing w:after="0" w:line="240" w:lineRule="auto"/>
        <w:jc w:val="both"/>
        <w:rPr>
          <w:rFonts w:ascii="Times New Roman" w:eastAsia="Times New Roman" w:hAnsi="Times New Roman" w:cs="Times New Roman"/>
          <w:sz w:val="20"/>
          <w:szCs w:val="20"/>
          <w:lang w:eastAsia="ru-RU"/>
        </w:rPr>
      </w:pPr>
      <w:r w:rsidRPr="00401C82">
        <w:rPr>
          <w:rFonts w:ascii="Times New Roman" w:eastAsia="Times New Roman" w:hAnsi="Times New Roman" w:cs="Times New Roman"/>
          <w:sz w:val="20"/>
          <w:szCs w:val="20"/>
          <w:lang w:eastAsia="ru-RU"/>
        </w:rPr>
        <w:t>Конструкция шкафа, его дверок, задвижек, замков и т.п. должна обеспечивать достаточную прочность для защиты от вандализма и попыток взлома с целью хищения дорогостоящего оборудования.</w:t>
      </w:r>
      <w:r>
        <w:rPr>
          <w:rFonts w:ascii="Times New Roman" w:eastAsia="Times New Roman" w:hAnsi="Times New Roman" w:cs="Times New Roman"/>
          <w:sz w:val="20"/>
          <w:szCs w:val="20"/>
          <w:lang w:eastAsia="ru-RU"/>
        </w:rPr>
        <w:t xml:space="preserve"> </w:t>
      </w:r>
      <w:r w:rsidRPr="00401C82">
        <w:rPr>
          <w:rFonts w:ascii="Times New Roman" w:eastAsia="Times New Roman" w:hAnsi="Times New Roman" w:cs="Times New Roman"/>
          <w:sz w:val="20"/>
          <w:szCs w:val="20"/>
          <w:lang w:eastAsia="ru-RU"/>
        </w:rPr>
        <w:t>В целях электробезопасности корпус металлического шкафа учета электроэнергии должен быть заземлен.</w:t>
      </w:r>
    </w:p>
    <w:p w:rsidR="00104480" w:rsidRPr="00401C82" w:rsidRDefault="00104480" w:rsidP="00104480">
      <w:pPr>
        <w:autoSpaceDE w:val="0"/>
        <w:autoSpaceDN w:val="0"/>
        <w:adjustRightInd w:val="0"/>
        <w:spacing w:after="0" w:line="240" w:lineRule="auto"/>
        <w:ind w:firstLine="567"/>
        <w:jc w:val="both"/>
        <w:rPr>
          <w:rFonts w:ascii="Times New Roman" w:hAnsi="Times New Roman" w:cs="Times New Roman"/>
          <w:sz w:val="20"/>
          <w:szCs w:val="20"/>
        </w:rPr>
      </w:pPr>
    </w:p>
    <w:p w:rsidR="00104480" w:rsidRDefault="00104480" w:rsidP="0010448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Установка прибора учета и допуск его к эксплуатации, в случае </w:t>
      </w:r>
      <w:r w:rsidRPr="003C65F4">
        <w:rPr>
          <w:rFonts w:ascii="Times New Roman" w:hAnsi="Times New Roman" w:cs="Times New Roman"/>
          <w:sz w:val="20"/>
          <w:szCs w:val="20"/>
          <w:u w:val="single"/>
        </w:rPr>
        <w:t>если такой прибор учета отсутствовал или вышел из строя, истек срок его эксплуатации по состоянию на 1 апреля 2020 г. или ранее</w:t>
      </w:r>
      <w:r>
        <w:rPr>
          <w:rFonts w:ascii="Times New Roman" w:hAnsi="Times New Roman" w:cs="Times New Roman"/>
          <w:sz w:val="20"/>
          <w:szCs w:val="20"/>
        </w:rPr>
        <w:t xml:space="preserve">, должны быть осуществлены </w:t>
      </w:r>
      <w:r w:rsidRPr="003C65F4">
        <w:rPr>
          <w:rFonts w:ascii="Times New Roman" w:hAnsi="Times New Roman" w:cs="Times New Roman"/>
          <w:sz w:val="20"/>
          <w:szCs w:val="20"/>
          <w:u w:val="single"/>
        </w:rPr>
        <w:t>до 31 декабря 2023 г.</w:t>
      </w:r>
      <w:r>
        <w:rPr>
          <w:rFonts w:ascii="Times New Roman" w:hAnsi="Times New Roman" w:cs="Times New Roman"/>
          <w:sz w:val="20"/>
          <w:szCs w:val="20"/>
        </w:rPr>
        <w:t xml:space="preserve"> </w:t>
      </w:r>
    </w:p>
    <w:p w:rsidR="00104480" w:rsidRDefault="00104480" w:rsidP="00104480">
      <w:pPr>
        <w:autoSpaceDE w:val="0"/>
        <w:autoSpaceDN w:val="0"/>
        <w:adjustRightInd w:val="0"/>
        <w:spacing w:after="0" w:line="240" w:lineRule="auto"/>
        <w:ind w:firstLine="540"/>
        <w:jc w:val="both"/>
        <w:rPr>
          <w:rFonts w:ascii="Times New Roman" w:hAnsi="Times New Roman" w:cs="Times New Roman"/>
          <w:sz w:val="20"/>
          <w:szCs w:val="20"/>
        </w:rPr>
      </w:pPr>
      <w:r w:rsidRPr="003C65F4">
        <w:rPr>
          <w:rFonts w:ascii="Times New Roman" w:hAnsi="Times New Roman" w:cs="Times New Roman"/>
          <w:sz w:val="20"/>
          <w:szCs w:val="20"/>
          <w:u w:val="single"/>
        </w:rPr>
        <w:t>В иных случаях</w:t>
      </w:r>
      <w:r>
        <w:rPr>
          <w:rFonts w:ascii="Times New Roman" w:hAnsi="Times New Roman" w:cs="Times New Roman"/>
          <w:sz w:val="20"/>
          <w:szCs w:val="20"/>
        </w:rPr>
        <w:t xml:space="preserve"> установка, замена или поверка прибора учета электрической энергии и допуск к эксплуатации прибора учета электрической энергии осуществляются </w:t>
      </w:r>
      <w:r w:rsidRPr="00396D89">
        <w:rPr>
          <w:rFonts w:ascii="Times New Roman" w:hAnsi="Times New Roman" w:cs="Times New Roman"/>
          <w:sz w:val="20"/>
          <w:szCs w:val="20"/>
          <w:u w:val="single"/>
        </w:rPr>
        <w:t>не позднее 6 месяцев</w:t>
      </w:r>
      <w:r>
        <w:rPr>
          <w:rFonts w:ascii="Times New Roman" w:hAnsi="Times New Roman" w:cs="Times New Roman"/>
          <w:sz w:val="20"/>
          <w:szCs w:val="20"/>
        </w:rPr>
        <w:t>:</w:t>
      </w:r>
    </w:p>
    <w:p w:rsidR="00104480" w:rsidRDefault="00104480" w:rsidP="0010448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с даты истечения</w:t>
      </w:r>
      <w:proofErr w:type="gramEnd"/>
      <w:r>
        <w:rPr>
          <w:rFonts w:ascii="Times New Roman" w:hAnsi="Times New Roman" w:cs="Times New Roman"/>
          <w:sz w:val="20"/>
          <w:szCs w:val="20"/>
        </w:rPr>
        <w:t xml:space="preserve">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104480" w:rsidRDefault="00104480" w:rsidP="00104480">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roofErr w:type="gramEnd"/>
    </w:p>
    <w:p w:rsidR="00104480" w:rsidRDefault="00104480" w:rsidP="00104480">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-с даты выявления истечения срока поверки, срока эксплуатации, неисправности прибора учета в ходе проведения его проверки в установленном Основными положениями порядке;</w:t>
      </w:r>
      <w:proofErr w:type="gramEnd"/>
    </w:p>
    <w:p w:rsidR="001B4CD0" w:rsidRDefault="00104480" w:rsidP="00104480">
      <w:pPr>
        <w:autoSpaceDE w:val="0"/>
        <w:autoSpaceDN w:val="0"/>
        <w:adjustRightInd w:val="0"/>
        <w:spacing w:after="0" w:line="240" w:lineRule="auto"/>
        <w:ind w:firstLine="540"/>
        <w:jc w:val="both"/>
      </w:pPr>
      <w:r>
        <w:rPr>
          <w:rFonts w:ascii="Times New Roman" w:hAnsi="Times New Roman" w:cs="Times New Roman"/>
          <w:sz w:val="20"/>
          <w:szCs w:val="20"/>
        </w:rPr>
        <w:t xml:space="preserve">- с даты признания прибора учета </w:t>
      </w:r>
      <w:proofErr w:type="gramStart"/>
      <w:r>
        <w:rPr>
          <w:rFonts w:ascii="Times New Roman" w:hAnsi="Times New Roman" w:cs="Times New Roman"/>
          <w:sz w:val="20"/>
          <w:szCs w:val="20"/>
        </w:rPr>
        <w:t>утраченным</w:t>
      </w:r>
      <w:proofErr w:type="gramEnd"/>
      <w:r>
        <w:rPr>
          <w:rFonts w:ascii="Times New Roman" w:hAnsi="Times New Roman" w:cs="Times New Roman"/>
          <w:sz w:val="20"/>
          <w:szCs w:val="20"/>
        </w:rPr>
        <w:t>.</w:t>
      </w:r>
    </w:p>
    <w:sectPr w:rsidR="001B4CD0" w:rsidSect="00104480">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4480"/>
    <w:rsid w:val="00104480"/>
    <w:rsid w:val="001B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34090ED6412302A53865CEE7721BCDF61BCECB1B12C8D13FE9FACC50463E2BA68F3B370B9E9B6A2AB433FA3E3886B4BB0063F559D9008F2e7L" TargetMode="External"/><Relationship Id="rId3" Type="http://schemas.openxmlformats.org/officeDocument/2006/relationships/webSettings" Target="webSettings.xml"/><Relationship Id="rId7" Type="http://schemas.openxmlformats.org/officeDocument/2006/relationships/hyperlink" Target="consultantplus://offline/ref=C69A1A0EA842E5EF6B7FF0560E677CB3AF7CB123CDCAA6AD8E82DC73F959E99B38C61E9D1C42D50991C197ED32BC09ABC84899A078EB4EF5b4U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FC9D2E61C9884B6832B0C393EFA3A415D7FCED0BDBF8FFBFF145C27024FF97B9E7A0FFC43CAAB11F6EC2E9708F895758C4DC6ECC80A62Er3R4L" TargetMode="External"/><Relationship Id="rId5" Type="http://schemas.openxmlformats.org/officeDocument/2006/relationships/hyperlink" Target="consultantplus://offline/ref=6F042024E7FD9D6C4D98A7DA66BB548F30762C80915781734AB01140F0056A5E60B35DB37091C5AA2F7C93E5F2L1L9L" TargetMode="External"/><Relationship Id="rId10" Type="http://schemas.openxmlformats.org/officeDocument/2006/relationships/theme" Target="theme/theme1.xml"/><Relationship Id="rId4" Type="http://schemas.openxmlformats.org/officeDocument/2006/relationships/hyperlink" Target="consultantplus://offline/ref=B01AFD511E0C455618CED097261633EC27168C606403DEFB3F18503011F7933FA959510D4A47ED4847304F546AZDa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2П</dc:creator>
  <cp:keywords/>
  <dc:description/>
  <cp:lastModifiedBy>2П</cp:lastModifiedBy>
  <cp:revision>2</cp:revision>
  <dcterms:created xsi:type="dcterms:W3CDTF">2022-03-15T19:41:00Z</dcterms:created>
  <dcterms:modified xsi:type="dcterms:W3CDTF">2022-03-15T19:42:00Z</dcterms:modified>
</cp:coreProperties>
</file>